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1A55" w:rsidR="004F5BD1" w:rsidP="004F5BD1" w:rsidRDefault="004F5BD1" w14:paraId="8033dc5" w14:textId="8033dc5">
      <w:pPr>
        <w:jc w:val="both"/>
        <w15:collapsed w:val="false"/>
        <w:rPr>
          <w:rFonts w:ascii="Arial" w:hAnsi="Arial" w:cs="Arial"/>
          <w:color w:val="000000" w:themeColor="text1"/>
          <w:spacing w:val="8"/>
          <w:sz w:val="24"/>
          <w:szCs w:val="24"/>
        </w:rPr>
      </w:pPr>
      <w:bookmarkStart w:name="_GoBack" w:id="0"/>
      <w:bookmarkEnd w:id="0"/>
      <w:r w:rsidRPr="002F1A55">
        <w:rPr>
          <w:rFonts w:ascii="Arial" w:hAnsi="Arial" w:cs="Arial"/>
          <w:color w:val="000000" w:themeColor="text1"/>
          <w:sz w:val="24"/>
          <w:szCs w:val="24"/>
        </w:rPr>
        <w:t xml:space="preserve">REPUBLIKA HRVATSKA </w:t>
      </w:r>
    </w:p>
    <w:p w:rsidRPr="002F1A55" w:rsidR="004F5BD1" w:rsidP="004F5BD1" w:rsidRDefault="004F5BD1">
      <w:pPr>
        <w:rPr>
          <w:rFonts w:ascii="Arial" w:hAnsi="Arial" w:cs="Arial"/>
          <w:color w:val="000000" w:themeColor="text1"/>
          <w:sz w:val="24"/>
          <w:szCs w:val="24"/>
        </w:rPr>
      </w:pPr>
      <w:r w:rsidRPr="002F1A55">
        <w:rPr>
          <w:rFonts w:ascii="Arial" w:hAnsi="Arial" w:cs="Arial"/>
          <w:color w:val="000000" w:themeColor="text1"/>
          <w:sz w:val="24"/>
          <w:szCs w:val="24"/>
        </w:rPr>
        <w:t xml:space="preserve">TRGOVAČKI SUD U </w:t>
      </w:r>
      <w:r w:rsidRPr="002F1A55" w:rsidR="00902087">
        <w:rPr>
          <w:rFonts w:ascii="Arial" w:hAnsi="Arial" w:cs="Arial"/>
          <w:color w:val="000000" w:themeColor="text1"/>
          <w:sz w:val="24"/>
          <w:szCs w:val="24"/>
        </w:rPr>
        <w:t>PAZINU</w:t>
      </w:r>
    </w:p>
    <w:p w:rsidRPr="002F1A55" w:rsidR="006F1238" w:rsidP="006F1238" w:rsidRDefault="006F123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2F1A55">
        <w:rPr>
          <w:rFonts w:ascii="Arial" w:hAnsi="Arial" w:cs="Arial"/>
          <w:color w:val="000000" w:themeColor="text1"/>
          <w:sz w:val="24"/>
          <w:szCs w:val="24"/>
        </w:rPr>
        <w:t>St-</w:t>
      </w:r>
      <w:r w:rsidRPr="002F1A55" w:rsidR="004D1A8B">
        <w:rPr>
          <w:rFonts w:ascii="Arial" w:hAnsi="Arial" w:cs="Arial"/>
          <w:color w:val="000000" w:themeColor="text1"/>
          <w:sz w:val="24"/>
          <w:szCs w:val="24"/>
        </w:rPr>
        <w:t>206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>/20</w:t>
      </w:r>
      <w:r w:rsidRPr="002F1A55" w:rsidR="00250FA8">
        <w:rPr>
          <w:rFonts w:ascii="Arial" w:hAnsi="Arial" w:cs="Arial"/>
          <w:color w:val="000000" w:themeColor="text1"/>
          <w:sz w:val="24"/>
          <w:szCs w:val="24"/>
        </w:rPr>
        <w:t>23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>-</w:t>
      </w:r>
      <w:r w:rsidRPr="002F1A55" w:rsidR="002F1A55">
        <w:rPr>
          <w:rFonts w:ascii="Arial" w:hAnsi="Arial" w:cs="Arial"/>
          <w:color w:val="000000" w:themeColor="text1"/>
          <w:sz w:val="24"/>
          <w:szCs w:val="24"/>
        </w:rPr>
        <w:t>274</w:t>
      </w:r>
    </w:p>
    <w:p w:rsidRPr="002F1A55" w:rsidR="006F1238" w:rsidP="004F5BD1" w:rsidRDefault="006F1238">
      <w:pPr>
        <w:rPr>
          <w:rFonts w:ascii="Arial" w:hAnsi="Arial" w:cs="Arial"/>
          <w:color w:val="000000" w:themeColor="text1"/>
          <w:sz w:val="24"/>
          <w:szCs w:val="24"/>
        </w:rPr>
      </w:pPr>
    </w:p>
    <w:p w:rsidRPr="002F1A55" w:rsidR="004F5BD1" w:rsidP="004F5BD1" w:rsidRDefault="004F5BD1">
      <w:pPr>
        <w:rPr>
          <w:rFonts w:ascii="Arial" w:hAnsi="Arial" w:cs="Arial"/>
          <w:color w:val="000000" w:themeColor="text1"/>
          <w:sz w:val="24"/>
          <w:szCs w:val="24"/>
        </w:rPr>
      </w:pPr>
    </w:p>
    <w:p w:rsidRPr="002F1A55" w:rsidR="004F5BD1" w:rsidP="004F5BD1" w:rsidRDefault="004F5BD1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2F1A55">
        <w:rPr>
          <w:rFonts w:ascii="Arial" w:hAnsi="Arial" w:cs="Arial"/>
          <w:color w:val="000000" w:themeColor="text1"/>
          <w:sz w:val="24"/>
          <w:szCs w:val="24"/>
        </w:rPr>
        <w:t>Z</w:t>
      </w:r>
      <w:r w:rsidRPr="002F1A55" w:rsidR="000919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>A</w:t>
      </w:r>
      <w:r w:rsidRPr="002F1A55" w:rsidR="000919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>P</w:t>
      </w:r>
      <w:r w:rsidRPr="002F1A55" w:rsidR="000919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>I</w:t>
      </w:r>
      <w:r w:rsidRPr="002F1A55" w:rsidR="000919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>S</w:t>
      </w:r>
      <w:r w:rsidRPr="002F1A55" w:rsidR="000919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>N</w:t>
      </w:r>
      <w:r w:rsidRPr="002F1A55" w:rsidR="000919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>I</w:t>
      </w:r>
      <w:r w:rsidRPr="002F1A55" w:rsidR="000919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>K</w:t>
      </w:r>
    </w:p>
    <w:p w:rsidRPr="002F1A55" w:rsidR="004F5BD1" w:rsidP="004F5BD1" w:rsidRDefault="004F5BD1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2F1A55">
        <w:rPr>
          <w:rFonts w:ascii="Arial" w:hAnsi="Arial" w:cs="Arial"/>
          <w:color w:val="000000" w:themeColor="text1"/>
          <w:sz w:val="24"/>
          <w:szCs w:val="24"/>
        </w:rPr>
        <w:t xml:space="preserve">od </w:t>
      </w:r>
      <w:r w:rsidRPr="002F1A55" w:rsidR="00F125EB">
        <w:rPr>
          <w:rFonts w:ascii="Arial" w:hAnsi="Arial" w:cs="Arial"/>
          <w:color w:val="000000" w:themeColor="text1"/>
          <w:sz w:val="24"/>
          <w:szCs w:val="24"/>
        </w:rPr>
        <w:t>3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2F1A55" w:rsidR="00F125EB">
        <w:rPr>
          <w:rFonts w:ascii="Arial" w:hAnsi="Arial" w:cs="Arial"/>
          <w:color w:val="000000" w:themeColor="text1"/>
          <w:sz w:val="24"/>
          <w:szCs w:val="24"/>
        </w:rPr>
        <w:t>rujna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 xml:space="preserve"> 20</w:t>
      </w:r>
      <w:r w:rsidRPr="002F1A55" w:rsidR="00250FA8">
        <w:rPr>
          <w:rFonts w:ascii="Arial" w:hAnsi="Arial" w:cs="Arial"/>
          <w:color w:val="000000" w:themeColor="text1"/>
          <w:sz w:val="24"/>
          <w:szCs w:val="24"/>
        </w:rPr>
        <w:t>2</w:t>
      </w:r>
      <w:r w:rsidRPr="002F1A55" w:rsidR="004D1A8B">
        <w:rPr>
          <w:rFonts w:ascii="Arial" w:hAnsi="Arial" w:cs="Arial"/>
          <w:color w:val="000000" w:themeColor="text1"/>
          <w:sz w:val="24"/>
          <w:szCs w:val="24"/>
        </w:rPr>
        <w:t>4</w:t>
      </w:r>
      <w:r w:rsidRPr="002F1A5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Pr="002F1A55" w:rsidR="004F5BD1" w:rsidP="004F5BD1" w:rsidRDefault="004F5BD1">
      <w:pPr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F1A55">
        <w:rPr>
          <w:rFonts w:ascii="Arial" w:hAnsi="Arial" w:cs="Arial"/>
          <w:color w:val="000000" w:themeColor="text1"/>
          <w:sz w:val="24"/>
          <w:szCs w:val="24"/>
        </w:rPr>
        <w:t xml:space="preserve">Sastavljen kod Trgovačkog suda u Pazinu, o završnom ročištu vjerovnika u stečajnom postupku nad </w:t>
      </w:r>
      <w:r w:rsidRPr="002F1A55" w:rsidR="004D1A8B">
        <w:rPr>
          <w:rFonts w:ascii="Arial" w:hAnsi="Arial" w:cs="Arial"/>
          <w:color w:val="000000" w:themeColor="text1"/>
          <w:sz w:val="24"/>
          <w:szCs w:val="24"/>
        </w:rPr>
        <w:t>Stečajnom masom iza HISTRIA TUBE d. d. u stečaju Zagreb, Petrinjska ulica 28, OIB 28392057112</w:t>
      </w:r>
    </w:p>
    <w:p w:rsidRPr="002F1A55" w:rsidR="004F5BD1" w:rsidP="004F5BD1" w:rsidRDefault="004F5BD1">
      <w:pPr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2F1A55" w:rsidR="004F5BD1" w:rsidP="004F5BD1" w:rsidRDefault="004F5BD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F1A55">
        <w:rPr>
          <w:rFonts w:ascii="Arial" w:hAnsi="Arial" w:cs="Arial"/>
          <w:color w:val="000000" w:themeColor="text1"/>
          <w:sz w:val="24"/>
          <w:szCs w:val="24"/>
        </w:rPr>
        <w:t>OD SUDA NAZOČNI:</w:t>
      </w:r>
    </w:p>
    <w:p w:rsidRPr="002F1A55" w:rsidR="004F5BD1" w:rsidP="004F5BD1" w:rsidRDefault="004F5BD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F1A55">
        <w:rPr>
          <w:rFonts w:ascii="Arial" w:hAnsi="Arial" w:cs="Arial"/>
          <w:color w:val="000000" w:themeColor="text1"/>
          <w:sz w:val="24"/>
          <w:szCs w:val="24"/>
        </w:rPr>
        <w:t xml:space="preserve">Ivan Dujić, stečajni sudac </w:t>
      </w:r>
    </w:p>
    <w:p w:rsidRPr="002F1A55" w:rsidR="004F5BD1" w:rsidP="004F5BD1" w:rsidRDefault="00902087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F1A55">
        <w:rPr>
          <w:rFonts w:ascii="Arial" w:hAnsi="Arial" w:cs="Arial"/>
          <w:color w:val="000000" w:themeColor="text1"/>
          <w:sz w:val="24"/>
          <w:szCs w:val="24"/>
        </w:rPr>
        <w:t xml:space="preserve">Sanja </w:t>
      </w:r>
      <w:r w:rsidRPr="002F1A55" w:rsidR="002F1A55">
        <w:rPr>
          <w:rFonts w:ascii="Arial" w:hAnsi="Arial" w:cs="Arial"/>
          <w:color w:val="000000" w:themeColor="text1"/>
          <w:sz w:val="24"/>
          <w:szCs w:val="24"/>
        </w:rPr>
        <w:t>Prodan</w:t>
      </w:r>
      <w:r w:rsidRPr="002F1A55" w:rsidR="004F5BD1">
        <w:rPr>
          <w:rFonts w:ascii="Arial" w:hAnsi="Arial" w:cs="Arial"/>
          <w:color w:val="000000" w:themeColor="text1"/>
          <w:sz w:val="24"/>
          <w:szCs w:val="24"/>
        </w:rPr>
        <w:t>, zapisničar</w:t>
      </w:r>
    </w:p>
    <w:p w:rsidRPr="003114BB" w:rsidR="00EA369A" w:rsidP="004F5BD1" w:rsidRDefault="00EA369A">
      <w:pPr>
        <w:jc w:val="both"/>
        <w:rPr>
          <w:rFonts w:ascii="Arial" w:hAnsi="Arial" w:cs="Arial"/>
          <w:sz w:val="24"/>
          <w:szCs w:val="24"/>
        </w:rPr>
      </w:pPr>
    </w:p>
    <w:p w:rsidR="004D1A8B" w:rsidP="004F5BD1" w:rsidRDefault="004D1A8B">
      <w:pPr>
        <w:tabs>
          <w:tab w:val="left" w:pos="7500"/>
        </w:tabs>
        <w:jc w:val="both"/>
        <w:rPr>
          <w:rFonts w:ascii="Arial" w:hAnsi="Arial" w:cs="Arial"/>
          <w:sz w:val="24"/>
          <w:szCs w:val="24"/>
        </w:rPr>
      </w:pPr>
      <w:r w:rsidRPr="004D1A8B">
        <w:rPr>
          <w:rFonts w:ascii="Arial" w:hAnsi="Arial" w:cs="Arial"/>
          <w:sz w:val="24"/>
          <w:szCs w:val="24"/>
        </w:rPr>
        <w:t xml:space="preserve">Stečajni upravitelj dužnika </w:t>
      </w:r>
      <w:r>
        <w:rPr>
          <w:rFonts w:ascii="Arial" w:hAnsi="Arial" w:cs="Arial"/>
          <w:sz w:val="24"/>
          <w:szCs w:val="24"/>
        </w:rPr>
        <w:t xml:space="preserve">Ivan Gjurašić </w:t>
      </w:r>
      <w:r w:rsidRPr="004D1A8B">
        <w:rPr>
          <w:rFonts w:ascii="Arial" w:hAnsi="Arial" w:cs="Arial"/>
          <w:sz w:val="24"/>
          <w:szCs w:val="24"/>
        </w:rPr>
        <w:t>na ročištu sudjeluje uz korištenje audiovizualnih uređaja (čl. 115. st. 3. Zakona o parničnom postupku, vezano uz čl. 10. Stečajnog zakona.</w:t>
      </w:r>
    </w:p>
    <w:p w:rsidR="004D1A8B" w:rsidP="004F5BD1" w:rsidRDefault="004D1A8B">
      <w:pPr>
        <w:tabs>
          <w:tab w:val="left" w:pos="7500"/>
        </w:tabs>
        <w:jc w:val="both"/>
        <w:rPr>
          <w:rFonts w:ascii="Arial" w:hAnsi="Arial" w:cs="Arial"/>
          <w:color w:val="auto"/>
          <w:sz w:val="24"/>
          <w:szCs w:val="24"/>
        </w:rPr>
      </w:pPr>
    </w:p>
    <w:p w:rsidRPr="004D1A8B" w:rsidR="004F5BD1" w:rsidP="004F5BD1" w:rsidRDefault="004F5BD1">
      <w:pPr>
        <w:tabs>
          <w:tab w:val="left" w:pos="7500"/>
        </w:tabs>
        <w:jc w:val="both"/>
        <w:rPr>
          <w:rFonts w:ascii="Arial" w:hAnsi="Arial" w:cs="Arial"/>
          <w:color w:val="auto"/>
          <w:sz w:val="24"/>
          <w:szCs w:val="24"/>
        </w:rPr>
      </w:pPr>
      <w:r w:rsidRPr="004D1A8B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Pr="004D1A8B" w:rsidR="00CC45D9">
        <w:rPr>
          <w:rFonts w:ascii="Arial" w:hAnsi="Arial" w:cs="Arial"/>
          <w:color w:val="auto"/>
          <w:sz w:val="24"/>
          <w:szCs w:val="24"/>
        </w:rPr>
        <w:t>12</w:t>
      </w:r>
      <w:r w:rsidRPr="004D1A8B" w:rsidR="00250FA8">
        <w:rPr>
          <w:rFonts w:ascii="Arial" w:hAnsi="Arial" w:cs="Arial"/>
          <w:color w:val="auto"/>
          <w:sz w:val="24"/>
          <w:szCs w:val="24"/>
        </w:rPr>
        <w:t>:</w:t>
      </w:r>
      <w:r w:rsidRPr="004D1A8B" w:rsidR="004D1A8B">
        <w:rPr>
          <w:rFonts w:ascii="Arial" w:hAnsi="Arial" w:cs="Arial"/>
          <w:color w:val="auto"/>
          <w:sz w:val="24"/>
          <w:szCs w:val="24"/>
        </w:rPr>
        <w:t>0</w:t>
      </w:r>
      <w:r w:rsidRPr="004D1A8B">
        <w:rPr>
          <w:rFonts w:ascii="Arial" w:hAnsi="Arial" w:cs="Arial"/>
          <w:color w:val="auto"/>
          <w:sz w:val="24"/>
          <w:szCs w:val="24"/>
        </w:rPr>
        <w:t>0 sati. Ročište je javno.</w:t>
      </w:r>
      <w:r w:rsidRPr="004D1A8B">
        <w:rPr>
          <w:rFonts w:ascii="Arial" w:hAnsi="Arial" w:cs="Arial"/>
          <w:color w:val="auto"/>
          <w:sz w:val="24"/>
          <w:szCs w:val="24"/>
        </w:rPr>
        <w:tab/>
      </w:r>
    </w:p>
    <w:p w:rsidRPr="003114BB" w:rsidR="002C02F9" w:rsidP="00FE0D29" w:rsidRDefault="002C02F9">
      <w:pPr>
        <w:jc w:val="both"/>
        <w:rPr>
          <w:rFonts w:ascii="Arial" w:hAnsi="Arial" w:cs="Arial"/>
          <w:sz w:val="24"/>
          <w:szCs w:val="24"/>
        </w:rPr>
      </w:pPr>
    </w:p>
    <w:p w:rsidRPr="00C67C2A" w:rsidR="00FB6014" w:rsidP="00FE0D29" w:rsidRDefault="00FB6014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67C2A">
        <w:rPr>
          <w:rFonts w:ascii="Arial" w:hAnsi="Arial" w:cs="Arial"/>
          <w:color w:val="000000" w:themeColor="text1"/>
          <w:sz w:val="24"/>
          <w:szCs w:val="24"/>
        </w:rPr>
        <w:tab/>
        <w:t>Utvrđuje se da su pristupili:</w:t>
      </w:r>
    </w:p>
    <w:p w:rsidRPr="00C67C2A" w:rsidR="004D1A8B" w:rsidP="004D1A8B" w:rsidRDefault="004D1A8B">
      <w:pPr>
        <w:pStyle w:val="Odlomakpopisa"/>
        <w:numPr>
          <w:ilvl w:val="0"/>
          <w:numId w:val="18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67C2A">
        <w:rPr>
          <w:rFonts w:ascii="Arial" w:hAnsi="Arial" w:cs="Arial"/>
          <w:color w:val="000000" w:themeColor="text1"/>
          <w:sz w:val="24"/>
          <w:szCs w:val="24"/>
        </w:rPr>
        <w:t>za Republiku Hrvatsku, zamjenik ŽDO Pula, Željko Perčinlić,</w:t>
      </w:r>
    </w:p>
    <w:p w:rsidRPr="00C67C2A" w:rsidR="00FB6014" w:rsidP="00FE0D29" w:rsidRDefault="00FB6014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C67C2A" w:rsidR="00934870" w:rsidP="00934870" w:rsidRDefault="00934870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67C2A">
        <w:rPr>
          <w:rFonts w:ascii="Arial" w:hAnsi="Arial" w:cs="Arial"/>
          <w:color w:val="000000" w:themeColor="text1"/>
          <w:sz w:val="24"/>
          <w:szCs w:val="24"/>
        </w:rPr>
        <w:t xml:space="preserve">Utvrđuje se da je stečajni upravitelj 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>24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 xml:space="preserve">srpnja 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>20</w:t>
      </w:r>
      <w:r w:rsidRPr="00C67C2A" w:rsidR="00250FA8">
        <w:rPr>
          <w:rFonts w:ascii="Arial" w:hAnsi="Arial" w:cs="Arial"/>
          <w:color w:val="000000" w:themeColor="text1"/>
          <w:sz w:val="24"/>
          <w:szCs w:val="24"/>
        </w:rPr>
        <w:t>2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>4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 xml:space="preserve">. dostavio završni račun, da je stečajni sudac prije ročišta vjerovnika dana 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>24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 xml:space="preserve">srpnja 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>20</w:t>
      </w:r>
      <w:r w:rsidRPr="00C67C2A" w:rsidR="00250FA8">
        <w:rPr>
          <w:rFonts w:ascii="Arial" w:hAnsi="Arial" w:cs="Arial"/>
          <w:color w:val="000000" w:themeColor="text1"/>
          <w:sz w:val="24"/>
          <w:szCs w:val="24"/>
        </w:rPr>
        <w:t>2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>4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>. ispitao završni račun upravitelja i na njemu potvrdio da ga je ispitao.</w:t>
      </w:r>
    </w:p>
    <w:p w:rsidRPr="00C67C2A" w:rsidR="004D1A8B" w:rsidP="00934870" w:rsidRDefault="004D1A8B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C67C2A" w:rsidR="004D1A8B" w:rsidP="00934870" w:rsidRDefault="004D1A8B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67C2A">
        <w:rPr>
          <w:rFonts w:ascii="Arial" w:hAnsi="Arial" w:cs="Arial"/>
          <w:color w:val="000000" w:themeColor="text1"/>
          <w:sz w:val="24"/>
          <w:szCs w:val="24"/>
        </w:rPr>
        <w:t>Utvrđuje se da je stečajni upravitelj 29. srpnja 2024. dostavio ispravljeni završni račun, da je stečajni sudac prije ročišta vjerovnika dana 24. srpnja 2024. ispitao završni račun upravitelja i na njemu potvrdio da ga je ispitao.</w:t>
      </w:r>
    </w:p>
    <w:p w:rsidRPr="00C67C2A" w:rsidR="00934870" w:rsidP="00934870" w:rsidRDefault="00934870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C67C2A" w:rsidR="00934870" w:rsidP="00934870" w:rsidRDefault="00934870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67C2A">
        <w:rPr>
          <w:rFonts w:ascii="Arial" w:hAnsi="Arial" w:cs="Arial"/>
          <w:color w:val="000000" w:themeColor="text1"/>
          <w:sz w:val="24"/>
          <w:szCs w:val="24"/>
        </w:rPr>
        <w:t xml:space="preserve">Utvrđuje se da je završni račun stečajnog upravitelja objavljen na mrežnoj stranici e-oglasna ploča sudova 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>24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 xml:space="preserve">srpnja 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>20</w:t>
      </w:r>
      <w:r w:rsidRPr="00C67C2A" w:rsidR="00250FA8">
        <w:rPr>
          <w:rFonts w:ascii="Arial" w:hAnsi="Arial" w:cs="Arial"/>
          <w:color w:val="000000" w:themeColor="text1"/>
          <w:sz w:val="24"/>
          <w:szCs w:val="24"/>
        </w:rPr>
        <w:t>2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>4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 xml:space="preserve">., 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 xml:space="preserve">ispravljeni završni račun stečajnog upravitelja objavljen na mrežnoj stranici e-oglasna ploča sudova 21. kolovoza 2024., 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 xml:space="preserve">a zaključak o sazivanju ovog ročišta 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>24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 xml:space="preserve">srpnja 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>20</w:t>
      </w:r>
      <w:r w:rsidRPr="00C67C2A" w:rsidR="00250FA8">
        <w:rPr>
          <w:rFonts w:ascii="Arial" w:hAnsi="Arial" w:cs="Arial"/>
          <w:color w:val="000000" w:themeColor="text1"/>
          <w:sz w:val="24"/>
          <w:szCs w:val="24"/>
        </w:rPr>
        <w:t>2</w:t>
      </w:r>
      <w:r w:rsidRPr="00C67C2A" w:rsidR="004D1A8B">
        <w:rPr>
          <w:rFonts w:ascii="Arial" w:hAnsi="Arial" w:cs="Arial"/>
          <w:color w:val="000000" w:themeColor="text1"/>
          <w:sz w:val="24"/>
          <w:szCs w:val="24"/>
        </w:rPr>
        <w:t>4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>., te se dostava smatra obavljenom istekom osmog dana od dana objave, sukladno čl. 12. st. 1. Stečajnog zakona.</w:t>
      </w:r>
    </w:p>
    <w:p w:rsidRPr="00C67C2A" w:rsidR="00934870" w:rsidP="00934870" w:rsidRDefault="00934870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3114BB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C67C2A">
        <w:rPr>
          <w:rFonts w:ascii="Arial" w:hAnsi="Arial" w:cs="Arial"/>
          <w:color w:val="000000" w:themeColor="text1"/>
          <w:sz w:val="24"/>
          <w:szCs w:val="24"/>
        </w:rPr>
        <w:t xml:space="preserve">Utvrđuje </w:t>
      </w:r>
      <w:r w:rsidRPr="003114BB">
        <w:rPr>
          <w:rFonts w:ascii="Arial" w:hAnsi="Arial" w:cs="Arial"/>
          <w:color w:val="auto"/>
          <w:sz w:val="24"/>
          <w:szCs w:val="24"/>
        </w:rPr>
        <w:t xml:space="preserve">se da do početka 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>ročišta nije pristigao niti jedan prigovor na završni diobni popis.</w:t>
      </w:r>
    </w:p>
    <w:p w:rsidRPr="003114BB" w:rsidR="00934870" w:rsidP="004F5BD1" w:rsidRDefault="00934870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3114BB" w:rsidR="004F5BD1" w:rsidP="004F5BD1" w:rsidRDefault="004F5BD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D1A8B">
        <w:rPr>
          <w:rFonts w:ascii="Arial" w:hAnsi="Arial" w:cs="Arial"/>
          <w:color w:val="auto"/>
          <w:sz w:val="24"/>
          <w:szCs w:val="24"/>
        </w:rPr>
        <w:t xml:space="preserve">Stečajni sudac utvrđuje Dnevni red kako je određen </w:t>
      </w:r>
      <w:r w:rsidRPr="004D1A8B" w:rsidR="00154F90">
        <w:rPr>
          <w:rFonts w:ascii="Arial" w:hAnsi="Arial" w:cs="Arial"/>
          <w:color w:val="auto"/>
          <w:sz w:val="24"/>
          <w:szCs w:val="24"/>
        </w:rPr>
        <w:t xml:space="preserve">zaključkom </w:t>
      </w:r>
      <w:r w:rsidRPr="004D1A8B">
        <w:rPr>
          <w:rFonts w:ascii="Arial" w:hAnsi="Arial" w:cs="Arial"/>
          <w:color w:val="auto"/>
          <w:sz w:val="24"/>
          <w:szCs w:val="24"/>
        </w:rPr>
        <w:t xml:space="preserve">poslovni broj </w:t>
      </w:r>
      <w:r w:rsidRPr="004D1A8B" w:rsidR="004D1A8B">
        <w:rPr>
          <w:rFonts w:ascii="Arial" w:hAnsi="Arial" w:cs="Arial"/>
          <w:sz w:val="24"/>
          <w:szCs w:val="24"/>
        </w:rPr>
        <w:t>St-206/2023-268</w:t>
      </w:r>
      <w:r w:rsidRPr="003114BB">
        <w:rPr>
          <w:rFonts w:ascii="Arial" w:hAnsi="Arial" w:cs="Arial"/>
          <w:sz w:val="24"/>
          <w:szCs w:val="24"/>
        </w:rPr>
        <w:t xml:space="preserve"> od </w:t>
      </w:r>
      <w:r w:rsidR="004D1A8B">
        <w:rPr>
          <w:rFonts w:ascii="Arial" w:hAnsi="Arial" w:cs="Arial"/>
          <w:sz w:val="24"/>
          <w:szCs w:val="24"/>
        </w:rPr>
        <w:t>24</w:t>
      </w:r>
      <w:r w:rsidRPr="003114BB">
        <w:rPr>
          <w:rFonts w:ascii="Arial" w:hAnsi="Arial" w:cs="Arial"/>
          <w:sz w:val="24"/>
          <w:szCs w:val="24"/>
        </w:rPr>
        <w:t xml:space="preserve">. </w:t>
      </w:r>
      <w:r w:rsidR="004D1A8B">
        <w:rPr>
          <w:rFonts w:ascii="Arial" w:hAnsi="Arial" w:cs="Arial"/>
          <w:sz w:val="24"/>
          <w:szCs w:val="24"/>
        </w:rPr>
        <w:t xml:space="preserve">srpnja </w:t>
      </w:r>
      <w:r w:rsidRPr="003114BB">
        <w:rPr>
          <w:rFonts w:ascii="Arial" w:hAnsi="Arial" w:cs="Arial"/>
          <w:sz w:val="24"/>
          <w:szCs w:val="24"/>
        </w:rPr>
        <w:t>20</w:t>
      </w:r>
      <w:r w:rsidR="00250FA8">
        <w:rPr>
          <w:rFonts w:ascii="Arial" w:hAnsi="Arial" w:cs="Arial"/>
          <w:sz w:val="24"/>
          <w:szCs w:val="24"/>
        </w:rPr>
        <w:t>2</w:t>
      </w:r>
      <w:r w:rsidR="004D1A8B">
        <w:rPr>
          <w:rFonts w:ascii="Arial" w:hAnsi="Arial" w:cs="Arial"/>
          <w:sz w:val="24"/>
          <w:szCs w:val="24"/>
        </w:rPr>
        <w:t>4</w:t>
      </w:r>
      <w:r w:rsidRPr="003114BB">
        <w:rPr>
          <w:rFonts w:ascii="Arial" w:hAnsi="Arial" w:cs="Arial"/>
          <w:sz w:val="24"/>
          <w:szCs w:val="24"/>
        </w:rPr>
        <w:t>. godine.</w:t>
      </w:r>
    </w:p>
    <w:p w:rsidRPr="003114BB" w:rsidR="004F5BD1" w:rsidP="004F5BD1" w:rsidRDefault="004F5BD1">
      <w:pPr>
        <w:ind w:firstLine="360"/>
        <w:jc w:val="both"/>
        <w:rPr>
          <w:rFonts w:ascii="Arial" w:hAnsi="Arial" w:cs="Arial"/>
          <w:bCs/>
          <w:sz w:val="24"/>
          <w:szCs w:val="24"/>
        </w:rPr>
      </w:pPr>
    </w:p>
    <w:p w:rsidRPr="003114BB" w:rsidR="004F5BD1" w:rsidP="004F5BD1" w:rsidRDefault="004F5BD1">
      <w:pPr>
        <w:ind w:firstLine="360"/>
        <w:jc w:val="both"/>
        <w:rPr>
          <w:rFonts w:ascii="Arial" w:hAnsi="Arial" w:cs="Arial"/>
          <w:bCs/>
          <w:sz w:val="24"/>
          <w:szCs w:val="24"/>
        </w:rPr>
      </w:pPr>
      <w:r w:rsidRPr="003114BB">
        <w:rPr>
          <w:rFonts w:ascii="Arial" w:hAnsi="Arial" w:cs="Arial"/>
          <w:bCs/>
          <w:sz w:val="24"/>
          <w:szCs w:val="24"/>
        </w:rPr>
        <w:t>Dnevni red današnjeg završnog ročišta vjerovnika je:</w:t>
      </w:r>
    </w:p>
    <w:p w:rsidRPr="004D1A8B" w:rsidR="00E0359A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1A8B">
        <w:rPr>
          <w:rFonts w:ascii="Arial" w:hAnsi="Arial" w:cs="Arial"/>
          <w:color w:val="auto"/>
          <w:sz w:val="24"/>
          <w:szCs w:val="24"/>
        </w:rPr>
        <w:t xml:space="preserve">1. rasprava o završnom računu stečajnog upravitelja, </w:t>
      </w:r>
    </w:p>
    <w:p w:rsidRPr="004D1A8B" w:rsidR="00E0359A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1A8B">
        <w:rPr>
          <w:rFonts w:ascii="Arial" w:hAnsi="Arial" w:cs="Arial"/>
          <w:color w:val="auto"/>
          <w:sz w:val="24"/>
          <w:szCs w:val="24"/>
        </w:rPr>
        <w:t>2. podnošenje prigovora na završni popis,</w:t>
      </w:r>
    </w:p>
    <w:p w:rsidRPr="004D1A8B" w:rsidR="004F5BD1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1A8B">
        <w:rPr>
          <w:rFonts w:ascii="Arial" w:hAnsi="Arial" w:cs="Arial"/>
          <w:color w:val="auto"/>
          <w:sz w:val="24"/>
          <w:szCs w:val="24"/>
        </w:rPr>
        <w:t>3. odlučivanje o neunovč</w:t>
      </w:r>
      <w:r w:rsidRPr="004D1A8B" w:rsidR="004367A6">
        <w:rPr>
          <w:rFonts w:ascii="Arial" w:hAnsi="Arial" w:cs="Arial"/>
          <w:color w:val="auto"/>
          <w:sz w:val="24"/>
          <w:szCs w:val="24"/>
        </w:rPr>
        <w:t>ivim</w:t>
      </w:r>
      <w:r w:rsidRPr="004D1A8B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Pr="004D1A8B" w:rsidR="00902087" w:rsidP="00632FC4" w:rsidRDefault="00902087">
      <w:pPr>
        <w:ind w:left="360"/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4D1A8B" w:rsidR="004F5BD1" w:rsidP="00DE6B15" w:rsidRDefault="004F5BD1">
      <w:pPr>
        <w:ind w:left="360" w:hanging="360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4D1A8B">
        <w:rPr>
          <w:rFonts w:ascii="Arial" w:hAnsi="Arial" w:cs="Arial"/>
          <w:bCs/>
          <w:color w:val="auto"/>
          <w:sz w:val="24"/>
          <w:szCs w:val="24"/>
        </w:rPr>
        <w:t>Prelazi se na 1. točku dnevnog reda.</w:t>
      </w:r>
    </w:p>
    <w:p w:rsidRPr="004D1A8B" w:rsidR="00B0044F" w:rsidP="004F5BD1" w:rsidRDefault="00B0044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1A8B">
        <w:rPr>
          <w:rFonts w:ascii="Arial" w:hAnsi="Arial" w:cs="Arial"/>
          <w:color w:val="auto"/>
          <w:sz w:val="24"/>
          <w:szCs w:val="24"/>
        </w:rPr>
        <w:lastRenderedPageBreak/>
        <w:t>Rasprava o završnom računu stečajnog upravitelja.</w:t>
      </w:r>
    </w:p>
    <w:p w:rsidR="00B0044F" w:rsidP="004F5BD1" w:rsidRDefault="00B0044F">
      <w:pPr>
        <w:jc w:val="both"/>
        <w:rPr>
          <w:rFonts w:ascii="Arial" w:hAnsi="Arial" w:cs="Arial"/>
          <w:bCs/>
          <w:sz w:val="24"/>
          <w:szCs w:val="24"/>
        </w:rPr>
      </w:pPr>
    </w:p>
    <w:p w:rsidRPr="003D0725" w:rsidR="003D0725" w:rsidP="003D0725" w:rsidRDefault="00DE6B15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>Stečajni upravitelj</w:t>
      </w:r>
      <w:r w:rsidRPr="00400E22" w:rsidR="003D0725">
        <w:rPr>
          <w:rFonts w:ascii="Arial" w:hAnsi="Arial" w:cs="Arial"/>
          <w:bCs/>
          <w:color w:val="auto"/>
          <w:sz w:val="24"/>
          <w:szCs w:val="24"/>
        </w:rPr>
        <w:t xml:space="preserve"> navodi da u cijelosti ustraje kod svega navedenog u </w:t>
      </w:r>
      <w:r w:rsidRPr="00C67C2A" w:rsidR="004D1A8B">
        <w:rPr>
          <w:rFonts w:ascii="Arial" w:hAnsi="Arial" w:cs="Arial"/>
          <w:bCs/>
          <w:color w:val="000000" w:themeColor="text1"/>
          <w:sz w:val="24"/>
          <w:szCs w:val="24"/>
        </w:rPr>
        <w:t xml:space="preserve">ispravljenom </w:t>
      </w:r>
      <w:r w:rsidRPr="00400E22" w:rsidR="003D0725">
        <w:rPr>
          <w:rFonts w:ascii="Arial" w:hAnsi="Arial" w:cs="Arial"/>
          <w:bCs/>
          <w:color w:val="auto"/>
          <w:sz w:val="24"/>
          <w:szCs w:val="24"/>
        </w:rPr>
        <w:t xml:space="preserve">završnom izvješću i računu kao što je isti dostavljen u pisanom obliku. </w:t>
      </w:r>
    </w:p>
    <w:p w:rsidRPr="003114BB" w:rsidR="000C4AE1" w:rsidP="000C4AE1" w:rsidRDefault="000C4AE1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</w:p>
    <w:p w:rsidRPr="00DE6B15" w:rsidR="00CB6EAF" w:rsidP="00CB6EAF" w:rsidRDefault="004F5BD1">
      <w:pPr>
        <w:jc w:val="both"/>
        <w:rPr>
          <w:rFonts w:ascii="Arial" w:hAnsi="Arial" w:cs="Arial"/>
          <w:bCs/>
          <w:sz w:val="24"/>
          <w:szCs w:val="24"/>
        </w:rPr>
      </w:pPr>
      <w:r w:rsidRPr="003114BB">
        <w:rPr>
          <w:rFonts w:ascii="Arial" w:hAnsi="Arial" w:cs="Arial"/>
          <w:bCs/>
          <w:sz w:val="24"/>
          <w:szCs w:val="24"/>
        </w:rPr>
        <w:t xml:space="preserve">Prelazi se na 2. točku dnevnog reda: </w:t>
      </w:r>
    </w:p>
    <w:p w:rsidRPr="004D1A8B" w:rsidR="004F5BD1" w:rsidP="00CB6EAF" w:rsidRDefault="00CB6EAF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4D1A8B">
        <w:rPr>
          <w:rFonts w:ascii="Arial" w:hAnsi="Arial" w:cs="Arial"/>
          <w:color w:val="auto"/>
          <w:sz w:val="24"/>
          <w:szCs w:val="24"/>
        </w:rPr>
        <w:t>Podnošenje prigovora na završni popis.</w:t>
      </w:r>
    </w:p>
    <w:p w:rsidRPr="003114BB" w:rsidR="00CB6EAF" w:rsidP="004F5BD1" w:rsidRDefault="00CB6EAF">
      <w:pPr>
        <w:rPr>
          <w:rFonts w:ascii="Arial" w:hAnsi="Arial" w:cs="Arial"/>
          <w:sz w:val="24"/>
          <w:szCs w:val="24"/>
        </w:rPr>
      </w:pPr>
    </w:p>
    <w:p w:rsidRPr="003114BB" w:rsidR="004F5BD1" w:rsidP="004F5BD1" w:rsidRDefault="004D1A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3114BB" w:rsidR="006F1238">
        <w:rPr>
          <w:rFonts w:ascii="Arial" w:hAnsi="Arial" w:cs="Arial"/>
          <w:sz w:val="24"/>
          <w:szCs w:val="24"/>
        </w:rPr>
        <w:t>Utvrđuje</w:t>
      </w:r>
      <w:r w:rsidRPr="003114BB" w:rsidR="004F5BD1">
        <w:rPr>
          <w:rFonts w:ascii="Arial" w:hAnsi="Arial" w:cs="Arial"/>
          <w:sz w:val="24"/>
          <w:szCs w:val="24"/>
        </w:rPr>
        <w:t xml:space="preserve"> se da nema prigovora na završni diobni popis. </w:t>
      </w:r>
    </w:p>
    <w:p w:rsidRPr="003114BB" w:rsidR="004F5BD1" w:rsidP="006F1238" w:rsidRDefault="006F1238">
      <w:pPr>
        <w:tabs>
          <w:tab w:val="left" w:pos="7004"/>
        </w:tabs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</w:p>
    <w:p w:rsidRPr="003114BB" w:rsidR="00902087" w:rsidP="004F5BD1" w:rsidRDefault="00902087">
      <w:pPr>
        <w:rPr>
          <w:rFonts w:ascii="Arial" w:hAnsi="Arial" w:cs="Arial"/>
          <w:sz w:val="24"/>
          <w:szCs w:val="24"/>
        </w:rPr>
      </w:pPr>
    </w:p>
    <w:p w:rsidRPr="00DE6B15" w:rsidR="004F5BD1" w:rsidP="00D83A9D" w:rsidRDefault="004F5BD1">
      <w:pPr>
        <w:jc w:val="both"/>
        <w:rPr>
          <w:rFonts w:ascii="Arial" w:hAnsi="Arial" w:cs="Arial"/>
          <w:bCs/>
          <w:sz w:val="24"/>
          <w:szCs w:val="24"/>
        </w:rPr>
      </w:pPr>
      <w:r w:rsidRPr="003114BB">
        <w:rPr>
          <w:rFonts w:ascii="Arial" w:hAnsi="Arial" w:cs="Arial"/>
          <w:bCs/>
          <w:sz w:val="24"/>
          <w:szCs w:val="24"/>
        </w:rPr>
        <w:t xml:space="preserve">Prelazi se na 3. točku dnevnog reda: </w:t>
      </w:r>
    </w:p>
    <w:p w:rsidRPr="004D1A8B" w:rsidR="003C7008" w:rsidP="004F5BD1" w:rsidRDefault="00CB6EA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1A8B">
        <w:rPr>
          <w:rFonts w:ascii="Arial" w:hAnsi="Arial" w:cs="Arial"/>
          <w:color w:val="auto"/>
          <w:sz w:val="24"/>
          <w:szCs w:val="24"/>
        </w:rPr>
        <w:t>Odlučivanje o neu</w:t>
      </w:r>
      <w:r w:rsidRPr="004D1A8B" w:rsidR="00B0044F">
        <w:rPr>
          <w:rFonts w:ascii="Arial" w:hAnsi="Arial" w:cs="Arial"/>
          <w:color w:val="auto"/>
          <w:sz w:val="24"/>
          <w:szCs w:val="24"/>
        </w:rPr>
        <w:t>novčivim</w:t>
      </w:r>
      <w:r w:rsidRPr="004D1A8B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="00B0044F" w:rsidP="004F5BD1" w:rsidRDefault="00B0044F">
      <w:pPr>
        <w:jc w:val="both"/>
        <w:rPr>
          <w:rFonts w:ascii="Arial" w:hAnsi="Arial" w:cs="Arial"/>
          <w:sz w:val="24"/>
          <w:szCs w:val="24"/>
        </w:rPr>
      </w:pPr>
    </w:p>
    <w:p w:rsidRPr="003114BB" w:rsidR="00DE6B15" w:rsidP="004F5BD1" w:rsidRDefault="004D1A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E6B15">
        <w:rPr>
          <w:rFonts w:ascii="Arial" w:hAnsi="Arial" w:cs="Arial"/>
          <w:sz w:val="24"/>
          <w:szCs w:val="24"/>
        </w:rPr>
        <w:t>Utvrđuje se da nema neunovčivih predmeta stečajne mase.</w:t>
      </w:r>
    </w:p>
    <w:p w:rsidRPr="003114BB" w:rsidR="00B0044F" w:rsidP="004F5BD1" w:rsidRDefault="00B0044F">
      <w:pPr>
        <w:jc w:val="both"/>
        <w:rPr>
          <w:rFonts w:ascii="Arial" w:hAnsi="Arial" w:cs="Arial"/>
          <w:sz w:val="24"/>
          <w:szCs w:val="24"/>
        </w:rPr>
      </w:pPr>
    </w:p>
    <w:p w:rsidRPr="003114BB" w:rsidR="00CB6EAF" w:rsidP="004F5BD1" w:rsidRDefault="00CB6EAF">
      <w:pPr>
        <w:jc w:val="both"/>
        <w:rPr>
          <w:rFonts w:ascii="Arial" w:hAnsi="Arial" w:cs="Arial"/>
          <w:sz w:val="24"/>
          <w:szCs w:val="24"/>
        </w:rPr>
      </w:pPr>
    </w:p>
    <w:p w:rsidRPr="003114BB" w:rsidR="004F5BD1" w:rsidP="004F5BD1" w:rsidRDefault="004D1A8B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Pr="003114BB" w:rsidR="004F5BD1">
        <w:rPr>
          <w:rFonts w:ascii="Arial" w:hAnsi="Arial" w:cs="Arial"/>
          <w:bCs/>
          <w:sz w:val="24"/>
          <w:szCs w:val="24"/>
        </w:rPr>
        <w:t>Stečajni sudac donosi</w:t>
      </w:r>
    </w:p>
    <w:p w:rsidRPr="003114BB" w:rsidR="0091249D" w:rsidP="004F5BD1" w:rsidRDefault="0091249D">
      <w:pPr>
        <w:jc w:val="both"/>
        <w:rPr>
          <w:rFonts w:ascii="Arial" w:hAnsi="Arial" w:cs="Arial"/>
          <w:bCs/>
          <w:sz w:val="24"/>
          <w:szCs w:val="24"/>
        </w:rPr>
      </w:pPr>
    </w:p>
    <w:p w:rsidRPr="003114BB" w:rsidR="0091249D" w:rsidP="0091249D" w:rsidRDefault="0091249D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3114BB">
        <w:rPr>
          <w:rFonts w:ascii="Arial" w:hAnsi="Arial" w:cs="Arial"/>
          <w:bCs/>
          <w:color w:val="auto"/>
          <w:sz w:val="24"/>
          <w:szCs w:val="24"/>
        </w:rPr>
        <w:t>z a k lj u č a k</w:t>
      </w:r>
    </w:p>
    <w:p w:rsidRPr="003114BB" w:rsidR="004F5BD1" w:rsidP="004F5BD1" w:rsidRDefault="004F5BD1">
      <w:pPr>
        <w:jc w:val="center"/>
        <w:rPr>
          <w:rFonts w:ascii="Arial" w:hAnsi="Arial" w:cs="Arial"/>
          <w:bCs/>
          <w:sz w:val="24"/>
          <w:szCs w:val="24"/>
        </w:rPr>
      </w:pPr>
    </w:p>
    <w:p w:rsidRPr="003114BB" w:rsidR="00934870" w:rsidP="00934870" w:rsidRDefault="00934870">
      <w:pPr>
        <w:pStyle w:val="Odlomakpopisa"/>
        <w:numPr>
          <w:ilvl w:val="0"/>
          <w:numId w:val="17"/>
        </w:numPr>
        <w:ind w:left="141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3114BB">
        <w:rPr>
          <w:rFonts w:ascii="Arial" w:hAnsi="Arial" w:cs="Arial"/>
          <w:bCs/>
          <w:color w:val="auto"/>
          <w:sz w:val="24"/>
          <w:szCs w:val="24"/>
        </w:rPr>
        <w:t>Daje se suglasnost stečajnom upravitelju za završnu diobu sukladno završnom diobenom popisu, te mu se nalaže da sudu najkasnije u roku od 15 dana dostavi dokaze o provedenoj diobi.</w:t>
      </w:r>
    </w:p>
    <w:p w:rsidRPr="003114BB" w:rsidR="00934870" w:rsidP="00934870" w:rsidRDefault="00934870">
      <w:pPr>
        <w:rPr>
          <w:rFonts w:ascii="Arial" w:hAnsi="Arial" w:cs="Arial"/>
          <w:bCs/>
          <w:color w:val="auto"/>
          <w:sz w:val="24"/>
          <w:szCs w:val="24"/>
        </w:rPr>
      </w:pPr>
    </w:p>
    <w:p w:rsidRPr="003114BB" w:rsidR="00934870" w:rsidP="00934870" w:rsidRDefault="00934870">
      <w:pPr>
        <w:pStyle w:val="Odlomakpopisa"/>
        <w:numPr>
          <w:ilvl w:val="0"/>
          <w:numId w:val="17"/>
        </w:numPr>
        <w:ind w:left="1418"/>
        <w:rPr>
          <w:rFonts w:ascii="Arial" w:hAnsi="Arial" w:cs="Arial"/>
          <w:bCs/>
          <w:color w:val="auto"/>
          <w:sz w:val="24"/>
          <w:szCs w:val="24"/>
        </w:rPr>
      </w:pPr>
      <w:r w:rsidRPr="003114BB">
        <w:rPr>
          <w:rFonts w:ascii="Arial" w:hAnsi="Arial" w:cs="Arial"/>
          <w:bCs/>
          <w:color w:val="auto"/>
          <w:sz w:val="24"/>
          <w:szCs w:val="24"/>
        </w:rPr>
        <w:t>Odluka o zaključenju stečajnog postupka biti će donesena u pisanom obliku, nakon što stečajni upravitelj postupi po točki I. ovog zaključka.</w:t>
      </w:r>
    </w:p>
    <w:p w:rsidRPr="003114BB" w:rsidR="004F5BD1" w:rsidP="004F5BD1" w:rsidRDefault="004F5BD1">
      <w:pPr>
        <w:rPr>
          <w:rFonts w:ascii="Arial" w:hAnsi="Arial" w:cs="Arial"/>
          <w:bCs/>
          <w:sz w:val="24"/>
          <w:szCs w:val="24"/>
        </w:rPr>
      </w:pPr>
    </w:p>
    <w:p w:rsidRPr="003114BB" w:rsidR="004F5BD1" w:rsidP="004F5BD1" w:rsidRDefault="004F5BD1">
      <w:pPr>
        <w:jc w:val="center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Dovršeno u </w:t>
      </w:r>
      <w:r w:rsidRPr="00C67C2A" w:rsidR="00FC1C86">
        <w:rPr>
          <w:rFonts w:ascii="Arial" w:hAnsi="Arial" w:cs="Arial"/>
          <w:color w:val="000000" w:themeColor="text1"/>
          <w:sz w:val="24"/>
          <w:szCs w:val="24"/>
        </w:rPr>
        <w:t>12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>:</w:t>
      </w:r>
      <w:r w:rsidR="00C67C2A">
        <w:rPr>
          <w:rFonts w:ascii="Arial" w:hAnsi="Arial" w:cs="Arial"/>
          <w:color w:val="000000" w:themeColor="text1"/>
          <w:sz w:val="24"/>
          <w:szCs w:val="24"/>
        </w:rPr>
        <w:t>05</w:t>
      </w:r>
      <w:r w:rsidRPr="00C67C2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sati.</w:t>
      </w:r>
    </w:p>
    <w:p w:rsidR="004F5BD1" w:rsidP="004F5BD1" w:rsidRDefault="004F5BD1">
      <w:pPr>
        <w:jc w:val="both"/>
        <w:rPr>
          <w:rFonts w:ascii="Arial" w:hAnsi="Arial" w:cs="Arial"/>
          <w:sz w:val="24"/>
          <w:szCs w:val="24"/>
        </w:rPr>
      </w:pPr>
    </w:p>
    <w:p w:rsidRPr="003114BB" w:rsidR="00DE6B15" w:rsidP="004F5BD1" w:rsidRDefault="00DE6B15">
      <w:pPr>
        <w:jc w:val="both"/>
        <w:rPr>
          <w:rFonts w:ascii="Arial" w:hAnsi="Arial" w:cs="Arial"/>
          <w:sz w:val="24"/>
          <w:szCs w:val="24"/>
        </w:rPr>
      </w:pPr>
    </w:p>
    <w:p w:rsidRPr="003114BB" w:rsidR="00902087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Stečajni upravitelj                </w:t>
      </w:r>
      <w:r w:rsidR="00DE6B15">
        <w:rPr>
          <w:rFonts w:ascii="Arial" w:hAnsi="Arial" w:cs="Arial"/>
          <w:sz w:val="24"/>
          <w:szCs w:val="24"/>
        </w:rPr>
        <w:tab/>
        <w:t xml:space="preserve"> </w:t>
      </w:r>
      <w:r w:rsidRPr="003114BB">
        <w:rPr>
          <w:rFonts w:ascii="Arial" w:hAnsi="Arial" w:cs="Arial"/>
          <w:sz w:val="24"/>
          <w:szCs w:val="24"/>
        </w:rPr>
        <w:t xml:space="preserve">      </w:t>
      </w:r>
      <w:r w:rsidRPr="003114BB" w:rsidR="004F5BD1">
        <w:rPr>
          <w:rFonts w:ascii="Arial" w:hAnsi="Arial" w:cs="Arial"/>
          <w:sz w:val="24"/>
          <w:szCs w:val="24"/>
        </w:rPr>
        <w:t>Stečajni sudac</w:t>
      </w:r>
      <w:r w:rsidRPr="003114BB" w:rsidR="004F5BD1">
        <w:rPr>
          <w:rFonts w:ascii="Arial" w:hAnsi="Arial" w:cs="Arial"/>
          <w:sz w:val="24"/>
          <w:szCs w:val="24"/>
        </w:rPr>
        <w:tab/>
      </w:r>
      <w:r w:rsidRPr="003114BB" w:rsidR="00F05CAB">
        <w:rPr>
          <w:rFonts w:ascii="Arial" w:hAnsi="Arial" w:cs="Arial"/>
          <w:sz w:val="24"/>
          <w:szCs w:val="24"/>
        </w:rPr>
        <w:t xml:space="preserve">     </w:t>
      </w:r>
      <w:r w:rsidRPr="003114BB" w:rsidR="00FE0D29">
        <w:rPr>
          <w:rFonts w:ascii="Arial" w:hAnsi="Arial" w:cs="Arial"/>
          <w:sz w:val="24"/>
          <w:szCs w:val="24"/>
        </w:rPr>
        <w:t xml:space="preserve">              </w:t>
      </w:r>
      <w:r w:rsidRPr="003114BB">
        <w:rPr>
          <w:rFonts w:ascii="Arial" w:hAnsi="Arial" w:cs="Arial"/>
          <w:sz w:val="24"/>
          <w:szCs w:val="24"/>
        </w:rPr>
        <w:t xml:space="preserve">            Vjerovnici</w:t>
      </w:r>
    </w:p>
    <w:p w:rsidR="00902087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</w:p>
    <w:p w:rsidR="00DE6B15" w:rsidP="003C7008" w:rsidRDefault="00DE6B15">
      <w:pPr>
        <w:rPr>
          <w:rFonts w:ascii="Arial" w:hAnsi="Arial" w:cs="Arial"/>
          <w:sz w:val="24"/>
          <w:szCs w:val="24"/>
        </w:rPr>
      </w:pPr>
    </w:p>
    <w:p w:rsidRPr="003114BB" w:rsidR="00DE6B15" w:rsidP="003C7008" w:rsidRDefault="00DE6B15">
      <w:pPr>
        <w:rPr>
          <w:rFonts w:ascii="Arial" w:hAnsi="Arial" w:cs="Arial"/>
          <w:sz w:val="24"/>
          <w:szCs w:val="24"/>
        </w:rPr>
      </w:pPr>
    </w:p>
    <w:p w:rsidRPr="003114BB" w:rsidR="00902087" w:rsidP="003C7008" w:rsidRDefault="00902087">
      <w:pPr>
        <w:rPr>
          <w:rFonts w:ascii="Arial" w:hAnsi="Arial" w:cs="Arial"/>
          <w:sz w:val="24"/>
          <w:szCs w:val="24"/>
        </w:rPr>
      </w:pPr>
    </w:p>
    <w:p w:rsidRPr="003114BB" w:rsidR="005A7E62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  <w:t xml:space="preserve">           Zapisničar</w:t>
      </w:r>
      <w:r w:rsidRPr="003114BB" w:rsidR="004F5BD1">
        <w:rPr>
          <w:rFonts w:ascii="Arial" w:hAnsi="Arial" w:cs="Arial"/>
          <w:sz w:val="24"/>
          <w:szCs w:val="24"/>
        </w:rPr>
        <w:t xml:space="preserve">         </w:t>
      </w:r>
    </w:p>
    <w:sectPr w:rsidRPr="003114BB" w:rsidR="005A7E62" w:rsidSect="00701AC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7FC1" w:rsidRDefault="00AD7FC1">
      <w:r>
        <w:separator/>
      </w:r>
    </w:p>
  </w:endnote>
  <w:endnote w:type="continuationSeparator" w:id="0">
    <w:p w:rsidR="00AD7FC1" w:rsidRDefault="00AD7FC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7FC1" w:rsidRDefault="00AD7FC1">
      <w:r>
        <w:separator/>
      </w:r>
    </w:p>
  </w:footnote>
  <w:footnote w:type="continuationSeparator" w:id="0">
    <w:p w:rsidR="00AD7FC1" w:rsidRDefault="00AD7FC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11BAF" w:rsidP="00701AC7" w:rsidRDefault="00D11BA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11BAF" w:rsidRDefault="00D11BA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114BB" w:rsidR="00D11BAF" w:rsidP="00701AC7" w:rsidRDefault="00D11BAF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3114BB">
      <w:rPr>
        <w:rStyle w:val="Brojstranice"/>
        <w:rFonts w:ascii="Arial" w:hAnsi="Arial" w:cs="Arial"/>
        <w:sz w:val="24"/>
        <w:szCs w:val="24"/>
      </w:rPr>
      <w:fldChar w:fldCharType="begin"/>
    </w:r>
    <w:r w:rsidRPr="003114BB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3114BB">
      <w:rPr>
        <w:rStyle w:val="Brojstranice"/>
        <w:rFonts w:ascii="Arial" w:hAnsi="Arial" w:cs="Arial"/>
        <w:sz w:val="24"/>
        <w:szCs w:val="24"/>
      </w:rPr>
      <w:fldChar w:fldCharType="separate"/>
    </w:r>
    <w:r w:rsidR="00886D58">
      <w:rPr>
        <w:rStyle w:val="Brojstranice"/>
        <w:rFonts w:ascii="Arial" w:hAnsi="Arial" w:cs="Arial"/>
        <w:noProof/>
        <w:sz w:val="24"/>
        <w:szCs w:val="24"/>
      </w:rPr>
      <w:t>2</w:t>
    </w:r>
    <w:r w:rsidRPr="003114BB">
      <w:rPr>
        <w:rStyle w:val="Brojstranice"/>
        <w:rFonts w:ascii="Arial" w:hAnsi="Arial" w:cs="Arial"/>
        <w:sz w:val="24"/>
        <w:szCs w:val="24"/>
      </w:rPr>
      <w:fldChar w:fldCharType="end"/>
    </w:r>
  </w:p>
  <w:p w:rsidRPr="004D1A8B" w:rsidR="00902087" w:rsidP="00902087" w:rsidRDefault="004D1A8B">
    <w:pPr>
      <w:jc w:val="right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FF0000"/>
        <w:sz w:val="24"/>
        <w:szCs w:val="24"/>
      </w:rPr>
      <w:tab/>
    </w:r>
    <w:r>
      <w:rPr>
        <w:rFonts w:ascii="Arial" w:hAnsi="Arial" w:cs="Arial"/>
        <w:color w:val="FF0000"/>
        <w:sz w:val="24"/>
        <w:szCs w:val="24"/>
      </w:rPr>
      <w:tab/>
    </w:r>
    <w:r>
      <w:rPr>
        <w:rFonts w:ascii="Arial" w:hAnsi="Arial" w:cs="Arial"/>
        <w:color w:val="FF0000"/>
        <w:sz w:val="24"/>
        <w:szCs w:val="24"/>
      </w:rPr>
      <w:tab/>
    </w:r>
    <w:r>
      <w:rPr>
        <w:rFonts w:ascii="Arial" w:hAnsi="Arial" w:cs="Arial"/>
        <w:color w:val="FF0000"/>
        <w:sz w:val="24"/>
        <w:szCs w:val="24"/>
      </w:rPr>
      <w:tab/>
    </w:r>
    <w:r>
      <w:rPr>
        <w:rFonts w:ascii="Arial" w:hAnsi="Arial" w:cs="Arial"/>
        <w:color w:val="FF0000"/>
        <w:sz w:val="24"/>
        <w:szCs w:val="24"/>
      </w:rPr>
      <w:tab/>
    </w:r>
    <w:r>
      <w:rPr>
        <w:rFonts w:ascii="Arial" w:hAnsi="Arial" w:cs="Arial"/>
        <w:color w:val="FF0000"/>
        <w:sz w:val="24"/>
        <w:szCs w:val="24"/>
      </w:rPr>
      <w:tab/>
    </w:r>
    <w:r w:rsidRPr="003114BB" w:rsidR="00902087">
      <w:rPr>
        <w:rFonts w:ascii="Arial" w:hAnsi="Arial" w:cs="Arial"/>
        <w:color w:val="FF0000"/>
        <w:sz w:val="24"/>
        <w:szCs w:val="24"/>
      </w:rPr>
      <w:t xml:space="preserve"> </w:t>
    </w:r>
    <w:r w:rsidRPr="004D1A8B" w:rsidR="00902087">
      <w:rPr>
        <w:rFonts w:ascii="Arial" w:hAnsi="Arial" w:cs="Arial"/>
        <w:color w:val="auto"/>
        <w:sz w:val="24"/>
        <w:szCs w:val="24"/>
      </w:rPr>
      <w:t>St-</w:t>
    </w:r>
    <w:r w:rsidRPr="004D1A8B">
      <w:rPr>
        <w:rFonts w:ascii="Arial" w:hAnsi="Arial" w:cs="Arial"/>
        <w:color w:val="auto"/>
        <w:sz w:val="24"/>
        <w:szCs w:val="24"/>
      </w:rPr>
      <w:t>206</w:t>
    </w:r>
    <w:r w:rsidRPr="004D1A8B" w:rsidR="00902087">
      <w:rPr>
        <w:rFonts w:ascii="Arial" w:hAnsi="Arial" w:cs="Arial"/>
        <w:color w:val="auto"/>
        <w:sz w:val="24"/>
        <w:szCs w:val="24"/>
      </w:rPr>
      <w:t>/</w:t>
    </w:r>
    <w:r w:rsidRPr="004D1A8B" w:rsidR="00FC4BAA">
      <w:rPr>
        <w:rFonts w:ascii="Arial" w:hAnsi="Arial" w:cs="Arial"/>
        <w:color w:val="auto"/>
        <w:sz w:val="24"/>
        <w:szCs w:val="24"/>
      </w:rPr>
      <w:t>20</w:t>
    </w:r>
    <w:r w:rsidRPr="004D1A8B" w:rsidR="00250FA8">
      <w:rPr>
        <w:rFonts w:ascii="Arial" w:hAnsi="Arial" w:cs="Arial"/>
        <w:color w:val="auto"/>
        <w:sz w:val="24"/>
        <w:szCs w:val="24"/>
      </w:rPr>
      <w:t>23</w:t>
    </w:r>
    <w:r w:rsidRPr="004D1A8B" w:rsidR="00902087">
      <w:rPr>
        <w:rFonts w:ascii="Arial" w:hAnsi="Arial" w:cs="Arial"/>
        <w:color w:val="auto"/>
        <w:sz w:val="24"/>
        <w:szCs w:val="24"/>
      </w:rPr>
      <w:t>-</w:t>
    </w:r>
    <w:r w:rsidR="002F1A55">
      <w:rPr>
        <w:rFonts w:ascii="Arial" w:hAnsi="Arial" w:cs="Arial"/>
        <w:color w:val="auto"/>
        <w:sz w:val="24"/>
        <w:szCs w:val="24"/>
      </w:rPr>
      <w:t>274</w:t>
    </w:r>
  </w:p>
  <w:p w:rsidR="00D11BAF" w:rsidRDefault="00D11BA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CB066F4"/>
    <w:multiLevelType w:val="hybridMultilevel"/>
    <w:tmpl w:val="ECBA60C4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1A51F50"/>
    <w:multiLevelType w:val="hybridMultilevel"/>
    <w:tmpl w:val="C978BBB8"/>
    <w:lvl w:ilvl="0" w:tplc="EBA495E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6">
    <w:nsid w:val="1AE755E3"/>
    <w:multiLevelType w:val="hybridMultilevel"/>
    <w:tmpl w:val="2E4C92C6"/>
    <w:lvl w:ilvl="0" w:tplc="BFE2C2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7702ADF"/>
    <w:multiLevelType w:val="hybridMultilevel"/>
    <w:tmpl w:val="D2361996"/>
    <w:lvl w:ilvl="0" w:tplc="45A89ED2">
      <w:start w:val="2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172233"/>
    <w:multiLevelType w:val="hybridMultilevel"/>
    <w:tmpl w:val="6D70D4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72220D"/>
    <w:multiLevelType w:val="hybridMultilevel"/>
    <w:tmpl w:val="1060AB54"/>
    <w:lvl w:ilvl="0" w:tplc="04090001">
      <w:start w:val="1"/>
      <w:numFmt w:val="bullet"/>
      <w:lvlText w:val=""/>
      <w:lvlJc w:val="left"/>
      <w:pPr>
        <w:tabs>
          <w:tab w:val="num" w:pos="1943"/>
        </w:tabs>
        <w:ind w:left="1943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663"/>
        </w:tabs>
        <w:ind w:left="2663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3383"/>
        </w:tabs>
        <w:ind w:left="3383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4103"/>
        </w:tabs>
        <w:ind w:left="4103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823"/>
        </w:tabs>
        <w:ind w:left="4823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543"/>
        </w:tabs>
        <w:ind w:left="5543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6263"/>
        </w:tabs>
        <w:ind w:left="6263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983"/>
        </w:tabs>
        <w:ind w:left="6983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703"/>
        </w:tabs>
        <w:ind w:left="7703" w:hanging="360"/>
      </w:pPr>
      <w:rPr>
        <w:rFonts w:hint="default" w:ascii="Wingdings" w:hAnsi="Wingdings"/>
      </w:rPr>
    </w:lvl>
  </w:abstractNum>
  <w:abstractNum w:abstractNumId="10">
    <w:nsid w:val="3E5A48A3"/>
    <w:multiLevelType w:val="hybridMultilevel"/>
    <w:tmpl w:val="FE6C1C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072E5C"/>
    <w:multiLevelType w:val="hybridMultilevel"/>
    <w:tmpl w:val="34FAC082"/>
    <w:lvl w:ilvl="0" w:tplc="A8B845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3">
    <w:nsid w:val="56BD46FD"/>
    <w:multiLevelType w:val="hybridMultilevel"/>
    <w:tmpl w:val="40961C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56729D"/>
    <w:multiLevelType w:val="hybridMultilevel"/>
    <w:tmpl w:val="CBECA1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175AC"/>
    <w:multiLevelType w:val="hybridMultilevel"/>
    <w:tmpl w:val="0BE6F00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8F22443"/>
    <w:multiLevelType w:val="hybridMultilevel"/>
    <w:tmpl w:val="6D585F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03EA3"/>
    <w:multiLevelType w:val="hybridMultilevel"/>
    <w:tmpl w:val="BABC3562"/>
    <w:lvl w:ilvl="0" w:tplc="6CE03994">
      <w:start w:val="1"/>
      <w:numFmt w:val="upperRoman"/>
      <w:lvlText w:val="%1."/>
      <w:lvlJc w:val="left"/>
      <w:pPr>
        <w:ind w:left="2124" w:hanging="1416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4"/>
  </w:num>
  <w:num w:numId="5">
    <w:abstractNumId w:val="1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5"/>
  </w:num>
  <w:num w:numId="10">
    <w:abstractNumId w:val="12"/>
  </w:num>
  <w:num w:numId="11">
    <w:abstractNumId w:val="5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17"/>
  </w:num>
  <w:num w:numId="18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BCB"/>
    <w:rsid w:val="0003222F"/>
    <w:rsid w:val="0006614D"/>
    <w:rsid w:val="00086909"/>
    <w:rsid w:val="00091912"/>
    <w:rsid w:val="000B1222"/>
    <w:rsid w:val="000B6500"/>
    <w:rsid w:val="000C4AE1"/>
    <w:rsid w:val="000F1D30"/>
    <w:rsid w:val="00123B13"/>
    <w:rsid w:val="00145164"/>
    <w:rsid w:val="0014628F"/>
    <w:rsid w:val="00150E92"/>
    <w:rsid w:val="00154F90"/>
    <w:rsid w:val="00184B04"/>
    <w:rsid w:val="001D5642"/>
    <w:rsid w:val="00226092"/>
    <w:rsid w:val="00241936"/>
    <w:rsid w:val="002458C9"/>
    <w:rsid w:val="00250FA8"/>
    <w:rsid w:val="00254589"/>
    <w:rsid w:val="002613D9"/>
    <w:rsid w:val="00263694"/>
    <w:rsid w:val="00291220"/>
    <w:rsid w:val="002C02F9"/>
    <w:rsid w:val="002D2732"/>
    <w:rsid w:val="002F1A55"/>
    <w:rsid w:val="00300F5F"/>
    <w:rsid w:val="003114BB"/>
    <w:rsid w:val="00332C44"/>
    <w:rsid w:val="00343E47"/>
    <w:rsid w:val="00363E50"/>
    <w:rsid w:val="00383CD5"/>
    <w:rsid w:val="00384B45"/>
    <w:rsid w:val="003C0F60"/>
    <w:rsid w:val="003C7008"/>
    <w:rsid w:val="003D0725"/>
    <w:rsid w:val="003E6DC6"/>
    <w:rsid w:val="003F4533"/>
    <w:rsid w:val="00405012"/>
    <w:rsid w:val="00413904"/>
    <w:rsid w:val="00426F81"/>
    <w:rsid w:val="004367A6"/>
    <w:rsid w:val="00443032"/>
    <w:rsid w:val="004A5EA0"/>
    <w:rsid w:val="004B493E"/>
    <w:rsid w:val="004B55D8"/>
    <w:rsid w:val="004C3242"/>
    <w:rsid w:val="004D1A8B"/>
    <w:rsid w:val="004D426A"/>
    <w:rsid w:val="004F24AB"/>
    <w:rsid w:val="004F5BD1"/>
    <w:rsid w:val="00512936"/>
    <w:rsid w:val="00540D73"/>
    <w:rsid w:val="00575C97"/>
    <w:rsid w:val="00584D14"/>
    <w:rsid w:val="00585081"/>
    <w:rsid w:val="00591EE7"/>
    <w:rsid w:val="005A7E62"/>
    <w:rsid w:val="005C4F94"/>
    <w:rsid w:val="00621D1B"/>
    <w:rsid w:val="00632FC4"/>
    <w:rsid w:val="00634FD3"/>
    <w:rsid w:val="006435A5"/>
    <w:rsid w:val="006534A2"/>
    <w:rsid w:val="0065678C"/>
    <w:rsid w:val="00657456"/>
    <w:rsid w:val="00694B95"/>
    <w:rsid w:val="006A2BFB"/>
    <w:rsid w:val="006E4C02"/>
    <w:rsid w:val="006F1238"/>
    <w:rsid w:val="006F2942"/>
    <w:rsid w:val="006F391F"/>
    <w:rsid w:val="00701AC7"/>
    <w:rsid w:val="0071598C"/>
    <w:rsid w:val="0071769C"/>
    <w:rsid w:val="00750D76"/>
    <w:rsid w:val="00752550"/>
    <w:rsid w:val="007540A0"/>
    <w:rsid w:val="007739FD"/>
    <w:rsid w:val="00787805"/>
    <w:rsid w:val="007A3704"/>
    <w:rsid w:val="007A753F"/>
    <w:rsid w:val="007E43AD"/>
    <w:rsid w:val="00824F31"/>
    <w:rsid w:val="00825CFD"/>
    <w:rsid w:val="008261C5"/>
    <w:rsid w:val="00842B8E"/>
    <w:rsid w:val="00855AB2"/>
    <w:rsid w:val="00863083"/>
    <w:rsid w:val="00886D58"/>
    <w:rsid w:val="008A1675"/>
    <w:rsid w:val="008B5998"/>
    <w:rsid w:val="008C085A"/>
    <w:rsid w:val="008D0BBC"/>
    <w:rsid w:val="008E20F7"/>
    <w:rsid w:val="008E698E"/>
    <w:rsid w:val="008F7103"/>
    <w:rsid w:val="00902087"/>
    <w:rsid w:val="0091249D"/>
    <w:rsid w:val="00922A73"/>
    <w:rsid w:val="00934870"/>
    <w:rsid w:val="00963C82"/>
    <w:rsid w:val="00981040"/>
    <w:rsid w:val="00981CBF"/>
    <w:rsid w:val="009923A6"/>
    <w:rsid w:val="009A3DE9"/>
    <w:rsid w:val="009C0C3F"/>
    <w:rsid w:val="009E5626"/>
    <w:rsid w:val="009E652D"/>
    <w:rsid w:val="00A13F40"/>
    <w:rsid w:val="00A33D1F"/>
    <w:rsid w:val="00A85C1A"/>
    <w:rsid w:val="00A96E4D"/>
    <w:rsid w:val="00AC11AD"/>
    <w:rsid w:val="00AD7FC1"/>
    <w:rsid w:val="00B0044F"/>
    <w:rsid w:val="00B04742"/>
    <w:rsid w:val="00B45559"/>
    <w:rsid w:val="00B970BA"/>
    <w:rsid w:val="00BA076A"/>
    <w:rsid w:val="00BB4392"/>
    <w:rsid w:val="00BB6D54"/>
    <w:rsid w:val="00BD5BCB"/>
    <w:rsid w:val="00C032E2"/>
    <w:rsid w:val="00C53591"/>
    <w:rsid w:val="00C67C2A"/>
    <w:rsid w:val="00CB02BE"/>
    <w:rsid w:val="00CB6EAF"/>
    <w:rsid w:val="00CC45D9"/>
    <w:rsid w:val="00CE76DF"/>
    <w:rsid w:val="00CF5845"/>
    <w:rsid w:val="00D11BAF"/>
    <w:rsid w:val="00D526D2"/>
    <w:rsid w:val="00D83A9D"/>
    <w:rsid w:val="00DB10F9"/>
    <w:rsid w:val="00DE3B10"/>
    <w:rsid w:val="00DE6B15"/>
    <w:rsid w:val="00DF71C2"/>
    <w:rsid w:val="00E0359A"/>
    <w:rsid w:val="00E2113B"/>
    <w:rsid w:val="00E57EB3"/>
    <w:rsid w:val="00E6106F"/>
    <w:rsid w:val="00E637FC"/>
    <w:rsid w:val="00E678C3"/>
    <w:rsid w:val="00E810A9"/>
    <w:rsid w:val="00EA369A"/>
    <w:rsid w:val="00EB6587"/>
    <w:rsid w:val="00F05CAB"/>
    <w:rsid w:val="00F125EB"/>
    <w:rsid w:val="00F37854"/>
    <w:rsid w:val="00F7754C"/>
    <w:rsid w:val="00FA7FB9"/>
    <w:rsid w:val="00FB6014"/>
    <w:rsid w:val="00FC1C86"/>
    <w:rsid w:val="00FC4BAA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1AF5BE-6A39-43F2-87DF-329B25F8831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5BCB"/>
    <w:rPr>
      <w:color w:val="000000"/>
    </w:rPr>
  </w:style>
  <w:style w:type="paragraph" w:styleId="Naslov1">
    <w:name w:val="heading 1"/>
    <w:basedOn w:val="Normal"/>
    <w:next w:val="Normal"/>
    <w:qFormat/>
    <w:rsid w:val="00591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1E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4F24AB"/>
    <w:pPr>
      <w:keepNext/>
      <w:jc w:val="both"/>
      <w:outlineLvl w:val="3"/>
    </w:pPr>
    <w:rPr>
      <w:b/>
      <w:color w:val="auto"/>
      <w:sz w:val="26"/>
      <w:lang w:val="en-AU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BD5BCB"/>
    <w:pPr>
      <w:jc w:val="both"/>
    </w:pPr>
    <w:rPr>
      <w:color w:val="auto"/>
      <w:sz w:val="24"/>
      <w:szCs w:val="24"/>
    </w:rPr>
  </w:style>
  <w:style w:type="table" w:styleId="Reetkatablice">
    <w:name w:val="Table Grid"/>
    <w:basedOn w:val="Obinatablica"/>
    <w:rsid w:val="00BD5B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rsid w:val="00BD5BC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5BCB"/>
  </w:style>
  <w:style w:type="paragraph" w:styleId="Podnoje">
    <w:name w:val="footer"/>
    <w:basedOn w:val="Normal"/>
    <w:rsid w:val="00701AC7"/>
    <w:pPr>
      <w:tabs>
        <w:tab w:val="center" w:pos="4536"/>
        <w:tab w:val="right" w:pos="9072"/>
      </w:tabs>
    </w:pPr>
  </w:style>
  <w:style w:type="paragraph" w:styleId="Tijeloteksta-uvlaka3">
    <w:name w:val="Body Text Indent 3"/>
    <w:basedOn w:val="Normal"/>
    <w:rsid w:val="004F5BD1"/>
    <w:pPr>
      <w:spacing w:after="120"/>
      <w:ind w:left="283"/>
    </w:pPr>
    <w:rPr>
      <w:sz w:val="16"/>
      <w:szCs w:val="16"/>
    </w:rPr>
  </w:style>
  <w:style w:type="paragraph" w:styleId="Tijeloteksta2">
    <w:name w:val="Body Text 2"/>
    <w:basedOn w:val="Normal"/>
    <w:link w:val="Tijeloteksta2Char"/>
    <w:rsid w:val="004F24AB"/>
    <w:pPr>
      <w:spacing w:after="120" w:line="480" w:lineRule="auto"/>
    </w:pPr>
    <w:rPr>
      <w:color w:val="auto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rsid w:val="004F24AB"/>
    <w:rPr>
      <w:sz w:val="24"/>
      <w:szCs w:val="24"/>
      <w:lang w:val="hr-HR" w:eastAsia="hr-HR" w:bidi="ar-SA"/>
    </w:rPr>
  </w:style>
  <w:style w:type="paragraph" w:styleId="Tijeloteksta-uvlaka2">
    <w:name w:val="Body Text Indent 2"/>
    <w:basedOn w:val="Normal"/>
    <w:rsid w:val="004F24AB"/>
    <w:pPr>
      <w:spacing w:after="120" w:line="480" w:lineRule="auto"/>
      <w:ind w:left="283"/>
    </w:pPr>
    <w:rPr>
      <w:color w:val="auto"/>
      <w:sz w:val="24"/>
      <w:szCs w:val="24"/>
    </w:rPr>
  </w:style>
  <w:style w:type="paragraph" w:styleId="Odlomakpopisa1" w:customStyle="true">
    <w:name w:val="Odlomak popisa1"/>
    <w:basedOn w:val="Normal"/>
    <w:qFormat/>
    <w:rsid w:val="004F24AB"/>
    <w:pPr>
      <w:spacing w:after="200" w:line="276" w:lineRule="auto"/>
      <w:ind w:left="720"/>
      <w:contextualSpacing/>
    </w:pPr>
    <w:rPr>
      <w:rFonts w:ascii="Calibri" w:hAnsi="Calibri" w:eastAsia="Calibri"/>
      <w:color w:val="auto"/>
      <w:sz w:val="22"/>
      <w:szCs w:val="22"/>
      <w:lang w:eastAsia="en-US"/>
    </w:rPr>
  </w:style>
  <w:style w:type="character" w:styleId="Naslov4Char" w:customStyle="true">
    <w:name w:val="Naslov 4 Char"/>
    <w:link w:val="Naslov4"/>
    <w:rsid w:val="004F24AB"/>
    <w:rPr>
      <w:b/>
      <w:sz w:val="26"/>
      <w:lang w:val="en-AU" w:eastAsia="en-US" w:bidi="ar-SA"/>
    </w:rPr>
  </w:style>
  <w:style w:type="paragraph" w:styleId="Odlomakpopisa">
    <w:name w:val="List Paragraph"/>
    <w:basedOn w:val="Normal"/>
    <w:uiPriority w:val="34"/>
    <w:qFormat/>
    <w:rsid w:val="0090208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86D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6D58"/>
    <w:rPr>
      <w:rFonts w:ascii="Times New Roman" w:hAnsi="Times New Roman" w:cs="Times New Roman"/>
      <w:color w:val="000000" w:themeColor="text1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6D58"/>
    <w:rPr>
      <w:rFonts w:ascii="Arial" w:hAnsi="Arial" w:cs="Arial"/>
      <w:color w:val="000000" w:themeColor="text1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6D58"/>
    <w:rPr>
      <w:rFonts w:ascii="Arial" w:hAnsi="Arial" w:cs="Arial"/>
      <w:color w:val="000000" w:themeColor="text1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6D58"/>
    <w:rPr>
      <w:rFonts w:ascii="Arial" w:hAnsi="Arial" w:cs="Arial"/>
      <w:color w:val="000000" w:themeColor="text1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23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3. rujna 2024.</izvorni_sadrzaj>
    <derivirana_varijabla naziv="DomainObject.StvarniPocetakDatum_1">3. rujna 2024.</derivirana_varijabla>
  </DomainObject.StvarniPocetakDatum>
  <DomainObject.StvarniZavrsetakDatum>
    <izvorni_sadrzaj>3. rujna 2024.</izvorni_sadrzaj>
    <derivirana_varijabla naziv="DomainObject.StvarniZavrsetakDatum_1">3. rujna 2024.</derivirana_varijabla>
  </DomainObject.StvarniZavrsetakDatum>
  <DomainObject.PlaniraniZavrsetakDatum>
    <izvorni_sadrzaj>3. rujna 2024.</izvorni_sadrzaj>
    <derivirana_varijabla naziv="DomainObject.PlaniraniZavrsetakDatum_1">3. rujna 2024.</derivirana_varijabla>
  </DomainObject.PlaniraniZavrsetakDatum>
  <DomainObject.PlaniraniPocetakDatum>
    <izvorni_sadrzaj>3. rujna 2024.</izvorni_sadrzaj>
    <derivirana_varijabla naziv="DomainObject.PlaniraniPocetakDatum_1">3. rujna 2024.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12:10</izvorni_sadrzaj>
    <derivirana_varijabla naziv="DomainObject.PlaniraniZavrsetakVrijeme_1">12:10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2024.</izvorni_sadrzaj>
    <derivirana_varijabla naziv="DomainObject.Zapisnik.DatumKreiranja_1">3.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St-206/2023-274</izvorni_sadrzaj>
    <derivirana_varijabla naziv="DomainObject.Zapisnik.Oznaka_1">St-206/2023-274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2023.</izvorni_sadrzaj>
    <derivirana_varijabla naziv="DomainObject.Predmet.DatumOsnivanja_1">3.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St-206/2023</izvorni_sadrzaj>
    <derivirana_varijabla naziv="DomainObject.Predmet.OznakaBroj_1">St-206/2023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HISTRIA TUBE d.d. u stečaju, Zagreb</izvorni_sadrzaj>
    <derivirana_varijabla naziv="DomainObject.Predmet.ProtustrankaFormated_1">  Stečajna masa iza HISTRIA TUBE d.d. u stečaju, Zagreb</derivirana_varijabla>
  </DomainObject.Predmet.ProtustrankaFormated>
  <DomainObject.Predmet.ProtustrankaFormatedOIB>
    <izvorni_sadrzaj>  Stečajna masa iza HISTRIA TUBE d.d. u stečaju, Zagreb, OIB 28392057112</izvorni_sadrzaj>
    <derivirana_varijabla naziv="DomainObject.Predmet.ProtustrankaFormatedOIB_1">  Stečajna masa iza HISTRIA TUBE d.d. u stečaju, Zagreb, OIB 28392057112</derivirana_varijabla>
  </DomainObject.Predmet.ProtustrankaFormatedOIB>
  <DomainObject.Predmet.ProtustrankaFormatedWithAdress>
    <izvorni_sadrzaj> Stečajna masa iza HISTRIA TUBE d.d. u stečaju, Zagreb, Petrinjska ulica 28, 10000 Zagreb</izvorni_sadrzaj>
    <derivirana_varijabla naziv="DomainObject.Predmet.ProtustrankaFormatedWithAdress_1"> Stečajna masa iza HISTRIA TUBE d.d. u stečaju, Zagreb, Petrinjska ulica 28, 10000 Zagreb</derivirana_varijabla>
  </DomainObject.Predmet.ProtustrankaFormatedWithAdress>
  <DomainObject.Predmet.ProtustrankaFormatedWithAdressOIB>
    <izvorni_sadrzaj> Stečajna masa iza HISTRIA TUBE d.d. u stečaju, Zagreb, OIB 28392057112, Petrinjska ulica 28, 10000 Zagreb</izvorni_sadrzaj>
    <derivirana_varijabla naziv="DomainObject.Predmet.ProtustrankaFormatedWithAdressOIB_1"> Stečajna masa iza HISTRIA TUBE d.d. u stečaju, Zagreb, OIB 28392057112, Petrinjska ulica 28, 10000 Zagreb</derivirana_varijabla>
  </DomainObject.Predmet.ProtustrankaFormatedWithAdressOIB>
  <DomainObject.Predmet.ProtustrankaWithAdress>
    <izvorni_sadrzaj>Stečajna masa iza HISTRIA TUBE d.d. u stečaju, Zagreb Petrinjska ulica 28, 10000 Zagreb</izvorni_sadrzaj>
    <derivirana_varijabla naziv="DomainObject.Predmet.ProtustrankaWithAdress_1">Stečajna masa iza HISTRIA TUBE d.d. u stečaju, Zagreb Petrinjska ulica 28, 10000 Zagreb</derivirana_varijabla>
  </DomainObject.Predmet.ProtustrankaWithAdress>
  <DomainObject.Predmet.ProtustrankaWithAdressOIB>
    <izvorni_sadrzaj>Stečajna masa iza HISTRIA TUBE d.d. u stečaju, Zagreb, OIB 28392057112, Petrinjska ulica 28, 10000 Zagreb</izvorni_sadrzaj>
    <derivirana_varijabla naziv="DomainObject.Predmet.ProtustrankaWithAdressOIB_1">Stečajna masa iza HISTRIA TUBE d.d. u stečaju, Zagreb, OIB 28392057112, Petrinjska ulica 28, 10000 Zagreb</derivirana_varijabla>
  </DomainObject.Predmet.ProtustrankaWithAdressOIB>
  <DomainObject.Predmet.ProtustrankaNazivFormated>
    <izvorni_sadrzaj>Stečajna masa iza HISTRIA TUBE d.d. u stečaju, Zagreb</izvorni_sadrzaj>
    <derivirana_varijabla naziv="DomainObject.Predmet.ProtustrankaNazivFormated_1">Stečajna masa iza HISTRIA TUBE d.d. u stečaju, Zagreb</derivirana_varijabla>
  </DomainObject.Predmet.ProtustrankaNazivFormated>
  <DomainObject.Predmet.ProtustrankaNazivFormatedOIB>
    <izvorni_sadrzaj>Stečajna masa iza HISTRIA TUBE d.d. u stečaju, Zagreb, OIB 28392057112</izvorni_sadrzaj>
    <derivirana_varijabla naziv="DomainObject.Predmet.ProtustrankaNazivFormatedOIB_1">Stečajna masa iza HISTRIA TUBE d.d. u stečaju, Zagreb, OIB 28392057112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HISTRIA TUBE d.d. u stečaju, Zagreb</item>
    </izvorni_sadrzaj>
    <derivirana_varijabla naziv="DomainObject.Predmet.ProtuStrankaListFormated_1">
      <item>Stečajna masa iza HISTRIA TUBE d.d. u stečaju, Zagreb</item>
    </derivirana_varijabla>
  </DomainObject.Predmet.ProtuStrankaListFormated>
  <DomainObject.Predmet.ProtuStrankaListFormatedOIB>
    <izvorni_sadrzaj>
      <item>Stečajna masa iza HISTRIA TUBE d.d. u stečaju, Zagreb, OIB 28392057112</item>
    </izvorni_sadrzaj>
    <derivirana_varijabla naziv="DomainObject.Predmet.ProtuStrankaListFormatedOIB_1">
      <item>Stečajna masa iza HISTRIA TUBE d.d. u stečaju, Zagreb, OIB 28392057112</item>
    </derivirana_varijabla>
  </DomainObject.Predmet.ProtuStrankaListFormatedOIB>
  <DomainObject.Predmet.ProtuStrankaListFormatedWithAdress>
    <izvorni_sadrzaj>
      <item>Stečajna masa iza HISTRIA TUBE d.d. u stečaju, Zagreb, Petrinjska ulica 28, 10000 Zagreb</item>
    </izvorni_sadrzaj>
    <derivirana_varijabla naziv="DomainObject.Predmet.ProtuStrankaListFormatedWithAdress_1">
      <item>Stečajna masa iza HISTRIA TUBE d.d. u stečaju, Zagreb, Petrinjska ulica 28, 10000 Zagreb</item>
    </derivirana_varijabla>
  </DomainObject.Predmet.ProtuStrankaListFormatedWithAdress>
  <DomainObject.Predmet.ProtuStrankaListFormatedWithAdressOIB>
    <izvorni_sadrzaj>
      <item>Stečajna masa iza HISTRIA TUBE d.d. u stečaju, Zagreb, OIB 28392057112, Petrinjska ulica 28, 10000 Zagreb</item>
    </izvorni_sadrzaj>
    <derivirana_varijabla naziv="DomainObject.Predmet.ProtuStrankaListFormatedWithAdressOIB_1">
      <item>Stečajna masa iza HISTRIA TUBE d.d. u stečaju, Zagreb, OIB 28392057112, Petrinjska ulica 28, 10000 Zagreb</item>
    </derivirana_varijabla>
  </DomainObject.Predmet.ProtuStrankaListFormatedWithAdressOIB>
  <DomainObject.Predmet.ProtuStrankaListNazivFormated>
    <izvorni_sadrzaj>
      <item>Stečajna masa iza HISTRIA TUBE d.d. u stečaju, Zagreb</item>
    </izvorni_sadrzaj>
    <derivirana_varijabla naziv="DomainObject.Predmet.ProtuStrankaListNazivFormated_1">
      <item>Stečajna masa iza HISTRIA TUBE d.d. u stečaju, Zagreb</item>
    </derivirana_varijabla>
  </DomainObject.Predmet.ProtuStrankaListNazivFormated>
  <DomainObject.Predmet.ProtuStrankaListNazivFormatedOIB>
    <izvorni_sadrzaj>
      <item>Stečajna masa iza HISTRIA TUBE d.d. u stečaju, Zagreb, OIB 28392057112</item>
    </izvorni_sadrzaj>
    <derivirana_varijabla naziv="DomainObject.Predmet.ProtuStrankaListNazivFormatedOIB_1">
      <item>Stečajna masa iza HISTRIA TUBE d.d. u stečaju, Zagreb, OIB 28392057112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2024.</izvorni_sadrzaj>
    <derivirana_varijabla naziv="DomainObject.Datum_1">3. rujna 2024.</derivirana_varijabla>
  </DomainObject.Datum>
  <DomainObject.PoslovniBrojDokumenta>
    <izvorni_sadrzaj>St-206/2023-274</izvorni_sadrzaj>
    <derivirana_varijabla naziv="DomainObject.PoslovniBrojDokumenta_1">St-206/2023-274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HISTRIA TUBE d.d. u stečaju, Zagreb</izvorni_sadrzaj>
    <derivirana_varijabla naziv="DomainObject.Predmet.ProtustrankaIDrugi_1">Stečajna masa iza HISTRIA TUBE d.d. u stečaju, Zagreb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HISTRIA TUBE d.d. u stečaju, Zagreb, OIB 28392057112, Petrinjska ulica 28, 10000 Zagreb</izvorni_sadrzaj>
    <derivirana_varijabla naziv="DomainObject.Predmet.ProtustrankaIDrugiAdressOIB_1">Stečajna masa iza HISTRIA TUBE d.d. u stečaju, Zagreb, OIB 28392057112, Petrinjska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HISTRIA TUBE d.d. u stečaju, Zagreb</item>
      <item>Ivan Gjurašić</item>
    </izvorni_sadrzaj>
    <derivirana_varijabla naziv="DomainObject.Predmet.SudioniciListNaziv_1">
      <item>Stečajna masa iza HISTRIA TUBE d.d. u stečaju, Zagreb</item>
      <item>Ivan Gjurašić</item>
    </derivirana_varijabla>
  </DomainObject.Predmet.SudioniciListNaziv>
  <DomainObject.Predmet.SudioniciListAdressOIB>
    <izvorni_sadrzaj>
      <item>Stečajna masa iza HISTRIA TUBE d.d. u stečaju, Zagreb, OIB 28392057112, Petrinjska ulica 28,10000 Zagreb</item>
      <item>Ivan Gjurašić, OIB 66025260916, Petrinjska 28,10000 Zagreb</item>
    </izvorni_sadrzaj>
    <derivirana_varijabla naziv="DomainObject.Predmet.SudioniciListAdressOIB_1">
      <item>Stečajna masa iza HISTRIA TUBE d.d. u stečaju, Zagreb, OIB 28392057112, Petrinjska ulica 28,10000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28392057112</item>
      <item>, OIB 66025260916</item>
    </izvorni_sadrzaj>
    <derivirana_varijabla naziv="DomainObject.Predmet.SudioniciListNazivOIB_1">
      <item>, OIB 28392057112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28, 10000 Zagreb</item>
    </izvorni_sadrzaj>
    <derivirana_varijabla naziv="DomainObject.Predmet.StecajniUpraviteljiListAddressOIB_1">
      <item>Ivan Gjurašić, OIB 66025260916,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2023.</izvorni_sadrzaj>
    <derivirana_varijabla naziv="DomainObject.Predmet.DatumPocetkaProcesa_1">30.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447</properties:Words>
  <properties:Characters>2463</properties:Characters>
  <properties:Lines>87</properties:Lines>
  <properties:Paragraphs>38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2024-08-30T13:31:00Z</dcterms:created>
  <dc:creator>jjeromela</dc:creator>
  <cp:lastModifiedBy>Sanja Lakošeljac</cp:lastModifiedBy>
  <cp:lastPrinted>2012-03-09T11:19:00Z</cp:lastPrinted>
  <dcterms:modified xmlns:xsi="http://www.w3.org/2001/XMLSchema-instance" xsi:type="dcterms:W3CDTF">2024-09-03T10:09:00Z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St-206/2023-274 / Zapisnik - Završno ročište vjerovnika (St-206-23 Zapisnik o završnom ročištu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